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C9" w:rsidRPr="008D2F16" w:rsidRDefault="00614EC9" w:rsidP="00614EC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D2F16">
        <w:rPr>
          <w:rFonts w:ascii="Arial" w:hAnsi="Arial" w:cs="Arial"/>
          <w:b/>
          <w:u w:val="single"/>
        </w:rPr>
        <w:t>Esquemas</w:t>
      </w:r>
      <w:r w:rsidR="00304BDB" w:rsidRPr="008D2F16">
        <w:rPr>
          <w:rFonts w:ascii="Arial" w:hAnsi="Arial" w:cs="Arial"/>
          <w:b/>
          <w:u w:val="single"/>
        </w:rPr>
        <w:t xml:space="preserve"> particulares de entrega para el IMSS</w:t>
      </w:r>
    </w:p>
    <w:p w:rsidR="00614EC9" w:rsidRPr="008D2F16" w:rsidRDefault="00614EC9" w:rsidP="006809A7">
      <w:pPr>
        <w:spacing w:after="0" w:line="240" w:lineRule="auto"/>
        <w:rPr>
          <w:rFonts w:ascii="Arial" w:hAnsi="Arial" w:cs="Arial"/>
        </w:rPr>
      </w:pPr>
    </w:p>
    <w:p w:rsidR="00614EC9" w:rsidRPr="008D2F16" w:rsidRDefault="00614EC9" w:rsidP="00614EC9">
      <w:pPr>
        <w:spacing w:after="0" w:line="240" w:lineRule="auto"/>
        <w:rPr>
          <w:rFonts w:ascii="Arial" w:hAnsi="Arial" w:cs="Arial"/>
        </w:rPr>
      </w:pPr>
      <w:r w:rsidRPr="008D2F16">
        <w:rPr>
          <w:rFonts w:ascii="Arial" w:hAnsi="Arial" w:cs="Arial"/>
        </w:rPr>
        <w:t>Para el Instituto Mexicano del Seguro Social, para las claves indicadas en el Anexo denominado requerimiento, columna “esquemas</w:t>
      </w:r>
      <w:r w:rsidR="00304BDB" w:rsidRPr="008D2F16">
        <w:rPr>
          <w:rFonts w:ascii="Arial" w:hAnsi="Arial" w:cs="Arial"/>
        </w:rPr>
        <w:t xml:space="preserve"> particulares de entrega para el IMSS</w:t>
      </w:r>
      <w:r w:rsidRPr="008D2F16">
        <w:rPr>
          <w:rFonts w:ascii="Arial" w:hAnsi="Arial" w:cs="Arial"/>
        </w:rPr>
        <w:t xml:space="preserve">”, se consideran los siguientes esquemas de contratación: </w:t>
      </w:r>
    </w:p>
    <w:p w:rsidR="00EF7896" w:rsidRPr="000A7EA2" w:rsidRDefault="00EF7896" w:rsidP="00EF7896">
      <w:pPr>
        <w:pStyle w:val="Prrafodelista"/>
        <w:rPr>
          <w:rFonts w:cs="Arial"/>
          <w:sz w:val="22"/>
          <w:lang w:val="es-MX"/>
        </w:rPr>
      </w:pPr>
    </w:p>
    <w:p w:rsidR="00EF7896" w:rsidRPr="008D2F16" w:rsidRDefault="00EF7896" w:rsidP="00EC7768">
      <w:pPr>
        <w:pStyle w:val="Prrafodelista"/>
        <w:numPr>
          <w:ilvl w:val="0"/>
          <w:numId w:val="7"/>
        </w:numPr>
        <w:rPr>
          <w:rFonts w:cs="Arial"/>
          <w:sz w:val="22"/>
        </w:rPr>
      </w:pPr>
      <w:r w:rsidRPr="008D2F16">
        <w:rPr>
          <w:rFonts w:cs="Arial"/>
          <w:b/>
          <w:sz w:val="22"/>
        </w:rPr>
        <w:t>Entrega hospitalaria</w:t>
      </w:r>
      <w:r w:rsidR="00614EC9" w:rsidRPr="008D2F16">
        <w:rPr>
          <w:rFonts w:cs="Arial"/>
          <w:sz w:val="22"/>
        </w:rPr>
        <w:t xml:space="preserve"> </w:t>
      </w:r>
      <w:r w:rsidRPr="008D2F16">
        <w:rPr>
          <w:rFonts w:cs="Arial"/>
          <w:sz w:val="22"/>
        </w:rPr>
        <w:t>entrega de bienes de manera directa por los proveedores en farmacias del ámbito nacional,</w:t>
      </w:r>
      <w:r w:rsidR="00614EC9" w:rsidRPr="008D2F16">
        <w:rPr>
          <w:rFonts w:cs="Arial"/>
          <w:sz w:val="22"/>
        </w:rPr>
        <w:t xml:space="preserve"> sin participación de almacenes</w:t>
      </w:r>
      <w:r w:rsidRPr="008D2F16">
        <w:rPr>
          <w:rFonts w:cs="Arial"/>
          <w:sz w:val="22"/>
        </w:rPr>
        <w:t>.</w:t>
      </w:r>
      <w:r w:rsidR="00EC7768">
        <w:rPr>
          <w:rFonts w:cs="Arial"/>
          <w:sz w:val="22"/>
          <w:lang w:val="es-MX"/>
        </w:rPr>
        <w:t xml:space="preserve"> (conforme al archivo </w:t>
      </w:r>
      <w:r w:rsidR="00EC7768" w:rsidRPr="00EC7768">
        <w:rPr>
          <w:rFonts w:cs="Arial"/>
          <w:sz w:val="22"/>
          <w:lang w:val="es-MX"/>
        </w:rPr>
        <w:t>ANEXO_LUGARES DE ENTREGA IMSS_EN ESQUEMA DE ENTREGA HOSPITALARIA</w:t>
      </w:r>
      <w:r w:rsidR="00EC7768">
        <w:rPr>
          <w:rFonts w:cs="Arial"/>
          <w:sz w:val="22"/>
          <w:lang w:val="es-MX"/>
        </w:rPr>
        <w:t>)</w:t>
      </w:r>
    </w:p>
    <w:p w:rsidR="00EC7768" w:rsidRDefault="00EC7768" w:rsidP="00EC7768">
      <w:pPr>
        <w:rPr>
          <w:rFonts w:cs="Arial"/>
        </w:rPr>
      </w:pPr>
      <w:bookmarkStart w:id="0" w:name="_GoBack"/>
      <w:bookmarkEnd w:id="0"/>
    </w:p>
    <w:p w:rsidR="00EC7768" w:rsidRDefault="00EC7768" w:rsidP="00EC7768">
      <w:pPr>
        <w:spacing w:after="0" w:line="240" w:lineRule="auto"/>
        <w:rPr>
          <w:rFonts w:ascii="Arial" w:hAnsi="Arial"/>
          <w:b/>
          <w:szCs w:val="18"/>
          <w:lang w:eastAsia="es-ES"/>
        </w:rPr>
      </w:pPr>
      <w:r w:rsidRPr="0064497B">
        <w:rPr>
          <w:rFonts w:ascii="Arial" w:hAnsi="Arial"/>
          <w:b/>
          <w:szCs w:val="18"/>
          <w:lang w:val="x-none" w:eastAsia="es-ES"/>
        </w:rPr>
        <w:t>Entrega hospitalaria</w:t>
      </w:r>
    </w:p>
    <w:p w:rsidR="00EC7768" w:rsidRPr="0064497B" w:rsidRDefault="00EC7768" w:rsidP="00EC7768">
      <w:pPr>
        <w:spacing w:after="0" w:line="240" w:lineRule="auto"/>
        <w:rPr>
          <w:rFonts w:ascii="Arial" w:hAnsi="Arial"/>
          <w:b/>
          <w:szCs w:val="18"/>
          <w:lang w:eastAsia="es-ES"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>Para el IMSS, además de resultar aplicable las condiciones descritas en</w:t>
      </w:r>
      <w:r>
        <w:rPr>
          <w:rFonts w:ascii="Arial" w:hAnsi="Arial" w:cs="Arial"/>
        </w:rPr>
        <w:t xml:space="preserve"> los términos y condicioens</w:t>
      </w:r>
      <w:r w:rsidRPr="0064497B">
        <w:rPr>
          <w:rFonts w:ascii="Arial" w:hAnsi="Arial" w:cs="Arial"/>
        </w:rPr>
        <w:t>, deberá cumplirse con lo siguiente:</w:t>
      </w:r>
    </w:p>
    <w:p w:rsidR="00EC7768" w:rsidRDefault="00EC7768" w:rsidP="00EC7768">
      <w:pPr>
        <w:spacing w:after="0" w:line="240" w:lineRule="auto"/>
        <w:rPr>
          <w:rFonts w:ascii="Arial" w:hAnsi="Arial" w:cs="Arial"/>
          <w:b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  <w:b/>
          <w:i/>
        </w:rPr>
      </w:pPr>
      <w:r w:rsidRPr="0064497B">
        <w:rPr>
          <w:rFonts w:ascii="Arial" w:hAnsi="Arial" w:cs="Arial"/>
          <w:b/>
        </w:rPr>
        <w:t>Confidencialidad</w:t>
      </w: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>La participación del proveedor que resulte adjudicado, así como del o los laboratorios relacionados con la elaboración de los insumos no deberá realizar ningún tipo de contacto personal con el  paciente, familiar, tutor o representante legal, sino siempre a través de los canales institucionales implementados para tal efecto.</w:t>
      </w: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 xml:space="preserve">Todo incumplimiento a lo previsto por esta cláusula, será causal de rescisión de los contratos celebrados con los proveedores asignados. </w:t>
      </w: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  <w:b/>
        </w:rPr>
      </w:pPr>
      <w:r w:rsidRPr="0064497B">
        <w:rPr>
          <w:rFonts w:ascii="Arial" w:hAnsi="Arial" w:cs="Arial"/>
          <w:b/>
        </w:rPr>
        <w:t>Pruebas Diagnósticas</w:t>
      </w:r>
    </w:p>
    <w:p w:rsidR="00EC7768" w:rsidRPr="0064497B" w:rsidRDefault="00EC7768" w:rsidP="00EC7768">
      <w:pPr>
        <w:pStyle w:val="Prrafodelista"/>
        <w:ind w:left="1080"/>
        <w:rPr>
          <w:rFonts w:cs="Arial"/>
          <w:b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>En caso de haber sido pactado por la Comisión Coordinadora para la Negociación de Precios e Insumos para la Salud, el otorgamiento sin costo para el Instituto de la realización de pruebas diagnósticas, debiendo observar lo siguiente:</w:t>
      </w: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>Las pruebas diagnósticas que por medio de las empresas farmacéuticas se realicen, serán sin cargo alguno para el Instituto y sin que esto medie compromiso alguno para el inicio o modificación de sus decisiones clínicas o terapéuticas.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>Las pruebas diagnósticas serán solicitadas de manera indistinta por el Instituto a alguno de los proveedores adjudicados, sin ser esta una condicionante para que el tratamiento de los pacientes  le sea otorgado a quien realizó dicho diagnóstico.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>Los estudios de laboratorio se realizarán a solicitud específica del Instituto Mexicano del Seguro Social y el procedimiento de toma de las muestras sanguíneas, se realizará dentro de las instalaciones y el personal del mismo.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 xml:space="preserve">Los datos personales a los cuales pertenece la muestra será de carácter confidencial y la industria farmacéutica no tendrá acceso a ella. 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>La empresa farmacéutica  se comprometerá a acreditar la certificación de calidad del laboratorio en el cual se procesará la muestra y entregará a este Instituto los resultados del estudio en el período de tiempo especificado para ello.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t>Una vez entregada la muestra al representante del proveedor adjudicado, será responsabilidad de este la logística hasta ser devuelto el resultado al Instituto.</w:t>
      </w:r>
    </w:p>
    <w:p w:rsidR="00EC7768" w:rsidRPr="0064497B" w:rsidRDefault="00EC7768" w:rsidP="00EC7768">
      <w:pPr>
        <w:numPr>
          <w:ilvl w:val="0"/>
          <w:numId w:val="4"/>
        </w:numPr>
        <w:spacing w:after="0" w:line="240" w:lineRule="auto"/>
        <w:ind w:left="1134"/>
        <w:rPr>
          <w:rFonts w:ascii="Arial" w:eastAsia="Times New Roman" w:hAnsi="Arial" w:cs="Arial"/>
          <w:lang w:eastAsia="ar-SA"/>
        </w:rPr>
      </w:pPr>
      <w:r w:rsidRPr="0064497B">
        <w:rPr>
          <w:rFonts w:ascii="Arial" w:eastAsia="Times New Roman" w:hAnsi="Arial" w:cs="Arial"/>
          <w:lang w:eastAsia="ar-SA"/>
        </w:rPr>
        <w:lastRenderedPageBreak/>
        <w:t xml:space="preserve">El proveedor adjudicado asumirá el total de los costos relacionados con el proceso de pruebas diagnósticas. </w:t>
      </w:r>
    </w:p>
    <w:p w:rsidR="00EC7768" w:rsidRPr="0064497B" w:rsidRDefault="00EC7768" w:rsidP="00EC7768">
      <w:pPr>
        <w:pStyle w:val="Prrafodelista"/>
        <w:ind w:left="1080"/>
        <w:rPr>
          <w:b/>
          <w:sz w:val="22"/>
          <w:szCs w:val="22"/>
          <w:lang w:val="es-MX"/>
        </w:rPr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  <w:b/>
        </w:rPr>
      </w:pPr>
      <w:r w:rsidRPr="0064497B">
        <w:rPr>
          <w:rFonts w:ascii="Arial" w:hAnsi="Arial" w:cs="Arial"/>
          <w:b/>
        </w:rPr>
        <w:t>Traspasos</w:t>
      </w:r>
    </w:p>
    <w:p w:rsidR="00EC7768" w:rsidRPr="0064497B" w:rsidRDefault="00EC7768" w:rsidP="00EC7768">
      <w:pPr>
        <w:spacing w:after="0" w:line="240" w:lineRule="auto"/>
      </w:pP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>En caso de que sea necesario realizar traspasos entre las unidades del Instituto de estos medicamentos, derivado de fallecimiento, suspensión de tratamientos o cambios de adscripción, se solicitará mediante oficio al proveedor adjudicado para que realice el traslado de los mismos.</w:t>
      </w:r>
    </w:p>
    <w:p w:rsidR="00EC7768" w:rsidRPr="0064497B" w:rsidRDefault="00EC7768" w:rsidP="00EC7768">
      <w:pPr>
        <w:spacing w:after="0" w:line="240" w:lineRule="auto"/>
        <w:rPr>
          <w:rFonts w:ascii="Arial" w:hAnsi="Arial" w:cs="Arial"/>
        </w:rPr>
      </w:pPr>
    </w:p>
    <w:p w:rsidR="00EC7768" w:rsidRDefault="00EC7768" w:rsidP="00EC7768">
      <w:pPr>
        <w:spacing w:after="0" w:line="240" w:lineRule="auto"/>
        <w:rPr>
          <w:rFonts w:ascii="Arial" w:hAnsi="Arial" w:cs="Arial"/>
        </w:rPr>
      </w:pPr>
      <w:r w:rsidRPr="0064497B">
        <w:rPr>
          <w:rFonts w:ascii="Arial" w:hAnsi="Arial" w:cs="Arial"/>
        </w:rPr>
        <w:t>Cabe señalar que dichos movimientos se realizarán sin cargo adicional para el Instituto en un periodo máximo de cuarenta y cinco días naturales a partir de la notificación al proveedor, cabe señalar que previamente se habrá consultado a las unidades involucradas a fin de agilizar el procedimiento.</w:t>
      </w:r>
      <w:r>
        <w:rPr>
          <w:rFonts w:ascii="Arial" w:hAnsi="Arial" w:cs="Arial"/>
        </w:rPr>
        <w:t xml:space="preserve"> </w:t>
      </w:r>
    </w:p>
    <w:p w:rsidR="00EC7768" w:rsidRDefault="00EC7768" w:rsidP="00EC7768">
      <w:pPr>
        <w:spacing w:after="0" w:line="240" w:lineRule="auto"/>
        <w:rPr>
          <w:rFonts w:ascii="Arial" w:hAnsi="Arial" w:cs="Arial"/>
          <w:b/>
          <w:iCs/>
        </w:rPr>
      </w:pPr>
    </w:p>
    <w:p w:rsidR="00EC7768" w:rsidRDefault="00EC7768" w:rsidP="00EC7768">
      <w:pPr>
        <w:spacing w:after="0" w:line="240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Deductiva</w:t>
      </w:r>
    </w:p>
    <w:p w:rsidR="00EC7768" w:rsidRDefault="00EC7768" w:rsidP="00EC7768">
      <w:pPr>
        <w:spacing w:after="0" w:line="240" w:lineRule="auto"/>
        <w:rPr>
          <w:rFonts w:ascii="Arial" w:hAnsi="Arial" w:cs="Arial"/>
          <w:b/>
          <w:iCs/>
        </w:rPr>
      </w:pPr>
    </w:p>
    <w:p w:rsidR="00EC7768" w:rsidRDefault="00EC7768" w:rsidP="00EC776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 IMSS, las Dependencias y Entidades consolidadas, c</w:t>
      </w:r>
      <w:r w:rsidRPr="00825216">
        <w:rPr>
          <w:rFonts w:ascii="Arial" w:hAnsi="Arial" w:cs="Arial"/>
        </w:rPr>
        <w:t>on fundamento en lo dispuesto en el Artículo 53 Bis de la Ley de Adquisiciones, Arrendamientos y Servicios del Sector Público, se aplicará deductivas en los siguientes casos:</w:t>
      </w:r>
    </w:p>
    <w:tbl>
      <w:tblPr>
        <w:tblW w:w="0" w:type="auto"/>
        <w:jc w:val="center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718"/>
        <w:gridCol w:w="3334"/>
      </w:tblGrid>
      <w:tr w:rsidR="00EC7768" w:rsidRPr="008C1DD9" w:rsidTr="002D50E1">
        <w:trPr>
          <w:tblHeader/>
          <w:jc w:val="center"/>
        </w:trPr>
        <w:tc>
          <w:tcPr>
            <w:tcW w:w="3119" w:type="dxa"/>
            <w:shd w:val="clear" w:color="auto" w:fill="BFBFBF"/>
          </w:tcPr>
          <w:p w:rsidR="00EC7768" w:rsidRPr="008C1DD9" w:rsidRDefault="00EC7768" w:rsidP="002D50E1">
            <w:pPr>
              <w:pStyle w:val="Prrafodelista"/>
              <w:ind w:left="0"/>
              <w:jc w:val="center"/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</w:pPr>
            <w:r w:rsidRPr="008C1DD9"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  <w:t>Causa</w:t>
            </w:r>
          </w:p>
        </w:tc>
        <w:tc>
          <w:tcPr>
            <w:tcW w:w="2718" w:type="dxa"/>
            <w:shd w:val="clear" w:color="auto" w:fill="BFBFBF"/>
          </w:tcPr>
          <w:p w:rsidR="00EC7768" w:rsidRPr="008C1DD9" w:rsidRDefault="00EC7768" w:rsidP="002D50E1">
            <w:pPr>
              <w:pStyle w:val="Prrafodelista"/>
              <w:ind w:left="0"/>
              <w:jc w:val="center"/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</w:pPr>
            <w:r w:rsidRPr="008C1DD9"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  <w:t>Porcentaje</w:t>
            </w:r>
          </w:p>
        </w:tc>
        <w:tc>
          <w:tcPr>
            <w:tcW w:w="3334" w:type="dxa"/>
            <w:shd w:val="clear" w:color="auto" w:fill="BFBFBF"/>
          </w:tcPr>
          <w:p w:rsidR="00EC7768" w:rsidRPr="008C1DD9" w:rsidRDefault="00EC7768" w:rsidP="002D50E1">
            <w:pPr>
              <w:pStyle w:val="Prrafodelista"/>
              <w:ind w:left="0"/>
              <w:jc w:val="center"/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</w:pPr>
            <w:r w:rsidRPr="008C1DD9">
              <w:rPr>
                <w:rFonts w:eastAsia="Times New Roman" w:cs="Arial"/>
                <w:b/>
                <w:sz w:val="22"/>
                <w:szCs w:val="22"/>
                <w:lang w:val="es-MX" w:eastAsia="en-US"/>
              </w:rPr>
              <w:t>Cálculo</w:t>
            </w:r>
          </w:p>
        </w:tc>
      </w:tr>
      <w:tr w:rsidR="00EC7768" w:rsidRPr="008C1DD9" w:rsidTr="002D50E1">
        <w:trPr>
          <w:jc w:val="center"/>
        </w:trPr>
        <w:tc>
          <w:tcPr>
            <w:tcW w:w="3119" w:type="dxa"/>
            <w:shd w:val="clear" w:color="auto" w:fill="auto"/>
          </w:tcPr>
          <w:p w:rsidR="00EC7768" w:rsidRDefault="00EC7768" w:rsidP="002D50E1">
            <w:pPr>
              <w:spacing w:after="0"/>
              <w:rPr>
                <w:rFonts w:ascii="Arial" w:eastAsia="Times New Roman" w:hAnsi="Arial" w:cs="Arial"/>
                <w:b/>
                <w:sz w:val="18"/>
              </w:rPr>
            </w:pPr>
            <w:r w:rsidRPr="002671BD">
              <w:rPr>
                <w:rFonts w:ascii="Arial" w:eastAsia="Times New Roman" w:hAnsi="Arial" w:cs="Arial"/>
                <w:b/>
                <w:sz w:val="18"/>
              </w:rPr>
              <w:t>PA</w:t>
            </w:r>
            <w:r>
              <w:rPr>
                <w:rFonts w:ascii="Arial" w:eastAsia="Times New Roman" w:hAnsi="Arial" w:cs="Arial"/>
                <w:b/>
                <w:sz w:val="18"/>
              </w:rPr>
              <w:t>RA EL IMSS</w:t>
            </w:r>
          </w:p>
          <w:p w:rsidR="00EC7768" w:rsidRPr="002671BD" w:rsidRDefault="00EC7768" w:rsidP="002D50E1">
            <w:pPr>
              <w:spacing w:after="0"/>
              <w:rPr>
                <w:rFonts w:ascii="Arial" w:eastAsia="Times New Roman" w:hAnsi="Arial" w:cs="Arial"/>
                <w:b/>
                <w:sz w:val="18"/>
              </w:rPr>
            </w:pPr>
            <w:r w:rsidRPr="002671BD">
              <w:rPr>
                <w:rFonts w:ascii="Arial" w:eastAsia="Times New Roman" w:hAnsi="Arial" w:cs="Arial"/>
                <w:sz w:val="18"/>
              </w:rPr>
              <w:t>Cuando el licitante adjudicado no realice los movimientos de traspaso dentro de los cuarenta y cinco días naturales a partir de la notificación.</w:t>
            </w:r>
            <w:r w:rsidRPr="002671BD">
              <w:rPr>
                <w:rFonts w:ascii="Arial" w:eastAsia="Times New Roman" w:hAnsi="Arial" w:cs="Arial"/>
                <w:b/>
                <w:sz w:val="18"/>
              </w:rPr>
              <w:t xml:space="preserve"> </w:t>
            </w:r>
          </w:p>
          <w:p w:rsidR="00EC7768" w:rsidRPr="008C1DD9" w:rsidRDefault="00EC7768" w:rsidP="002D50E1">
            <w:pPr>
              <w:spacing w:after="0"/>
              <w:rPr>
                <w:rFonts w:ascii="Arial" w:eastAsia="Times New Roman" w:hAnsi="Arial" w:cs="Arial"/>
                <w:b/>
                <w:sz w:val="18"/>
              </w:rPr>
            </w:pPr>
          </w:p>
        </w:tc>
        <w:tc>
          <w:tcPr>
            <w:tcW w:w="2718" w:type="dxa"/>
            <w:shd w:val="clear" w:color="auto" w:fill="auto"/>
          </w:tcPr>
          <w:p w:rsidR="00EC7768" w:rsidRPr="002671BD" w:rsidRDefault="00EC7768" w:rsidP="002D50E1">
            <w:pPr>
              <w:spacing w:after="0"/>
              <w:rPr>
                <w:rFonts w:ascii="Arial" w:eastAsia="Times New Roman" w:hAnsi="Arial" w:cs="Arial"/>
                <w:sz w:val="18"/>
              </w:rPr>
            </w:pPr>
            <w:r w:rsidRPr="002671BD">
              <w:rPr>
                <w:rFonts w:ascii="Arial" w:eastAsia="Times New Roman" w:hAnsi="Arial" w:cs="Arial"/>
                <w:sz w:val="18"/>
              </w:rPr>
              <w:t xml:space="preserve">10% del valor total de la clave solicitada para traspaso no realizado </w:t>
            </w:r>
          </w:p>
        </w:tc>
        <w:tc>
          <w:tcPr>
            <w:tcW w:w="3334" w:type="dxa"/>
            <w:shd w:val="clear" w:color="auto" w:fill="auto"/>
          </w:tcPr>
          <w:p w:rsidR="00EC7768" w:rsidRPr="008C1DD9" w:rsidRDefault="00EC7768" w:rsidP="002D50E1">
            <w:pPr>
              <w:pStyle w:val="Prrafodelista"/>
              <w:ind w:left="0"/>
              <w:rPr>
                <w:rFonts w:eastAsia="Times New Roman" w:cs="Arial"/>
                <w:sz w:val="18"/>
                <w:szCs w:val="22"/>
                <w:lang w:val="es-MX" w:eastAsia="en-US"/>
              </w:rPr>
            </w:pPr>
          </w:p>
          <w:p w:rsidR="00EC7768" w:rsidRPr="008C1DD9" w:rsidRDefault="00EC7768" w:rsidP="002D50E1">
            <w:pPr>
              <w:pStyle w:val="Prrafodelista"/>
              <w:ind w:left="0"/>
              <w:rPr>
                <w:rFonts w:eastAsia="Times New Roman" w:cs="Arial"/>
                <w:sz w:val="18"/>
                <w:szCs w:val="22"/>
                <w:lang w:val="es-MX" w:eastAsia="en-US"/>
              </w:rPr>
            </w:pPr>
            <w:r w:rsidRPr="008C1DD9">
              <w:rPr>
                <w:rFonts w:eastAsia="Times New Roman" w:cs="Arial"/>
                <w:sz w:val="18"/>
                <w:szCs w:val="22"/>
                <w:lang w:val="es-MX" w:eastAsia="en-US"/>
              </w:rPr>
              <w:t xml:space="preserve">Fecha notificada para </w:t>
            </w:r>
            <w:r>
              <w:rPr>
                <w:rFonts w:eastAsia="Times New Roman" w:cs="Arial"/>
                <w:sz w:val="18"/>
                <w:szCs w:val="22"/>
                <w:lang w:val="es-MX" w:eastAsia="en-US"/>
              </w:rPr>
              <w:t xml:space="preserve">realizar el traspaso, a partir del día cuarenta y seis </w:t>
            </w:r>
            <w:r w:rsidRPr="008C1DD9">
              <w:rPr>
                <w:rFonts w:eastAsia="Times New Roman" w:cs="Arial"/>
                <w:sz w:val="18"/>
                <w:szCs w:val="22"/>
                <w:lang w:val="es-MX" w:eastAsia="en-US"/>
              </w:rPr>
              <w:t xml:space="preserve">se aplicará </w:t>
            </w:r>
            <w:r>
              <w:rPr>
                <w:rFonts w:eastAsia="Times New Roman" w:cs="Arial"/>
                <w:sz w:val="18"/>
                <w:szCs w:val="22"/>
                <w:lang w:val="es-MX" w:eastAsia="en-US"/>
              </w:rPr>
              <w:t xml:space="preserve">una sanción por </w:t>
            </w:r>
            <w:r w:rsidRPr="008C1DD9">
              <w:rPr>
                <w:rFonts w:eastAsia="Times New Roman" w:cs="Arial"/>
                <w:sz w:val="18"/>
                <w:szCs w:val="22"/>
                <w:lang w:val="es-MX" w:eastAsia="en-US"/>
              </w:rPr>
              <w:t xml:space="preserve">el 10% del valor total de la clave solicitada </w:t>
            </w:r>
            <w:r>
              <w:rPr>
                <w:rFonts w:eastAsia="Times New Roman" w:cs="Arial"/>
                <w:sz w:val="18"/>
                <w:szCs w:val="22"/>
                <w:lang w:val="es-MX" w:eastAsia="en-US"/>
              </w:rPr>
              <w:t>para traspaso no realizado.</w:t>
            </w:r>
          </w:p>
        </w:tc>
      </w:tr>
    </w:tbl>
    <w:p w:rsidR="00EC7768" w:rsidRDefault="00EC7768" w:rsidP="00EC7768">
      <w:pPr>
        <w:spacing w:after="0" w:line="240" w:lineRule="auto"/>
        <w:rPr>
          <w:rFonts w:ascii="Arial" w:hAnsi="Arial" w:cs="Arial"/>
          <w:b/>
          <w:iCs/>
        </w:rPr>
      </w:pPr>
    </w:p>
    <w:p w:rsidR="00EF7896" w:rsidRPr="008D2F16" w:rsidRDefault="00EF7896" w:rsidP="00CC2ED5">
      <w:pPr>
        <w:spacing w:line="240" w:lineRule="auto"/>
        <w:rPr>
          <w:rFonts w:ascii="Arial" w:hAnsi="Arial" w:cs="Arial"/>
        </w:rPr>
      </w:pPr>
    </w:p>
    <w:sectPr w:rsidR="00EF7896" w:rsidRPr="008D2F16" w:rsidSect="00324456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209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42" w:rsidRDefault="00710542">
      <w:pPr>
        <w:spacing w:after="0" w:line="240" w:lineRule="auto"/>
      </w:pPr>
      <w:r>
        <w:separator/>
      </w:r>
    </w:p>
  </w:endnote>
  <w:endnote w:type="continuationSeparator" w:id="0">
    <w:p w:rsidR="00710542" w:rsidRDefault="0071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16" w:rsidRDefault="008D2F16">
    <w:pPr>
      <w:pStyle w:val="Piedepgina"/>
      <w:jc w:val="center"/>
      <w:rPr>
        <w:sz w:val="16"/>
        <w:szCs w:val="16"/>
      </w:rPr>
    </w:pPr>
  </w:p>
  <w:p w:rsidR="00CC2ED5" w:rsidRDefault="008D2F16" w:rsidP="00324456">
    <w:pPr>
      <w:pStyle w:val="Piedepgina"/>
      <w:jc w:val="center"/>
    </w:pPr>
    <w:r w:rsidRPr="00A71D09">
      <w:rPr>
        <w:sz w:val="16"/>
        <w:szCs w:val="16"/>
      </w:rPr>
      <w:fldChar w:fldCharType="begin"/>
    </w:r>
    <w:r w:rsidRPr="00A71D09">
      <w:rPr>
        <w:sz w:val="16"/>
        <w:szCs w:val="16"/>
      </w:rPr>
      <w:instrText>PAGE   \* MERGEFORMAT</w:instrText>
    </w:r>
    <w:r w:rsidRPr="00A71D09">
      <w:rPr>
        <w:sz w:val="16"/>
        <w:szCs w:val="16"/>
      </w:rPr>
      <w:fldChar w:fldCharType="separate"/>
    </w:r>
    <w:r w:rsidR="000A7EA2" w:rsidRPr="000A7EA2">
      <w:rPr>
        <w:noProof/>
        <w:sz w:val="16"/>
        <w:szCs w:val="16"/>
        <w:lang w:val="es-ES"/>
      </w:rPr>
      <w:t>2</w:t>
    </w:r>
    <w:r w:rsidRPr="00A71D09">
      <w:rPr>
        <w:sz w:val="16"/>
        <w:szCs w:val="16"/>
      </w:rPr>
      <w:fldChar w:fldCharType="end"/>
    </w:r>
    <w:r w:rsidR="00CC2ED5">
      <w:rPr>
        <w:sz w:val="16"/>
        <w:szCs w:val="16"/>
      </w:rPr>
      <w:t>/ Condiciones particulares IMSS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42" w:rsidRDefault="00710542">
      <w:pPr>
        <w:spacing w:after="0" w:line="240" w:lineRule="auto"/>
      </w:pPr>
      <w:r>
        <w:separator/>
      </w:r>
    </w:p>
  </w:footnote>
  <w:footnote w:type="continuationSeparator" w:id="0">
    <w:p w:rsidR="00710542" w:rsidRDefault="0071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16" w:rsidRDefault="000A7EA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09460" o:spid="_x0000_s2050" type="#_x0000_t75" style="position:absolute;left:0;text-align:left;margin-left:0;margin-top:0;width:498.3pt;height:461.35pt;z-index:-251656192;mso-position-horizontal:center;mso-position-horizontal-relative:margin;mso-position-vertical:center;mso-position-vertical-relative:margin" o:allowincell="f">
          <v:imagedata r:id="rId1" o:title="IMS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16" w:rsidRDefault="008D2F16" w:rsidP="00324456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54A810D" wp14:editId="36458D8A">
              <wp:simplePos x="0" y="0"/>
              <wp:positionH relativeFrom="column">
                <wp:posOffset>1514475</wp:posOffset>
              </wp:positionH>
              <wp:positionV relativeFrom="paragraph">
                <wp:posOffset>-107315</wp:posOffset>
              </wp:positionV>
              <wp:extent cx="4333875" cy="695325"/>
              <wp:effectExtent l="9525" t="6985" r="9525" b="1206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2F16" w:rsidRPr="00D5325A" w:rsidRDefault="008D2F16" w:rsidP="00324456">
                          <w:pPr>
                            <w:spacing w:after="0" w:line="240" w:lineRule="auto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:rsidR="008D2F16" w:rsidRPr="00D5325A" w:rsidRDefault="008D2F16" w:rsidP="0032445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DIRECCIÓN DE ADMINISTRAC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IÓN</w:t>
                          </w:r>
                        </w:p>
                        <w:p w:rsidR="008D2F16" w:rsidRPr="00D5325A" w:rsidRDefault="008D2F16" w:rsidP="0032445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UNIDAD DE ADMINISTRACI</w:t>
                          </w:r>
                          <w:r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Ó</w:t>
                          </w: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N</w:t>
                          </w:r>
                        </w:p>
                        <w:p w:rsidR="008D2F16" w:rsidRPr="00D5325A" w:rsidRDefault="008D2F16" w:rsidP="0032445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COORDINACIÓN DE CONTROL DE ABASTO</w:t>
                          </w:r>
                        </w:p>
                        <w:p w:rsidR="008D2F16" w:rsidRPr="00D5325A" w:rsidRDefault="008D2F16" w:rsidP="00324456">
                          <w:pP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9.25pt;margin-top:-8.45pt;width:341.25pt;height:5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ap9KQIAAFcEAAAOAAAAZHJzL2Uyb0RvYy54bWysVNtu2zAMfR+wfxD0vjrXNjHqFF26DgO6&#10;C9DtA2hJjoXJoiYpsbuvLyWnbba9FfODQIrUIXlI+vJq6Aw7KB802opPzyacKStQarur+I/vt+9W&#10;nIUIVoJBqyr+oAK/2rx9c9m7Us2wRSOVZwRiQ9m7ircxurIogmhVB+EMnbJkbNB3EEn1u0J66Am9&#10;M8VsMjkvevTSeRQqBLq9GY18k/GbRon4tWmCisxUnHKL+fT5rNNZbC6h3HlwrRbHNOAVWXSgLQV9&#10;hrqBCGzv9T9QnRYeAzbxTGBXYNNooXINVM108lc19y04lWshcoJ7pin8P1jx5fDNMy0rPufMQkct&#10;2u5BemRSsaiGiGyeSOpdKMn33pF3HN7jQM3OBQd3h+JnYBa3LdiduvYe+1aBpCSn6WVx8nTECQmk&#10;7j+jpGiwj5iBhsZ3iUHihBE6NevhuUGUBxN0uZjP56uLJWeCbOfr5Xy2zCGgfHrtfIgfFXYsCRX3&#10;NAAZHQ53IaZsoHxyScECGi1vtTFZ8bt6azw7AA3Lbf6O6H+4Gcv6iq+XFPu1EJ2ONPVGdxVfTdKX&#10;4kCZaPtgZZYjaDPKlLKxRx4TdSOJcagHckzk1igfiFGP43TTNpLQov/NWU+TXfHwaw9ecWY+WerK&#10;erpYpFXIymJ5MSPFn1rqUwtYQVAVj5yN4jaO67N3Xu9aijTOgcVr6mSjM8kvWR3zpunN3B83La3H&#10;qZ69Xv4Hm0cAAAD//wMAUEsDBBQABgAIAAAAIQDy44s+3wAAAAoBAAAPAAAAZHJzL2Rvd25yZXYu&#10;eG1sTI/BbsIwDIbvk/YOkZF2mSBtp1XQNUUIbdoZtstuoTFtReO0TaBlTz9zGjdb/vT7+/P1ZFtx&#10;wcE3jhTEiwgEUulMQ5WC76+P+RKED5qMbh2hgit6WBePD7nOjBtph5d9qASHkM+0gjqELpPSlzVa&#10;7ReuQ+Lb0Q1WB16HSppBjxxuW5lEUSqtbog/1LrDbY3laX+2Ctz4frUO+yh5/vm1n9tNvzsmvVJP&#10;s2nzBiLgFP5huOmzOhTsdHBnMl60CpKX5SujCuZxugLBxCqJud3hNqQgi1zeVyj+AAAA//8DAFBL&#10;AQItABQABgAIAAAAIQC2gziS/gAAAOEBAAATAAAAAAAAAAAAAAAAAAAAAABbQ29udGVudF9UeXBl&#10;c10ueG1sUEsBAi0AFAAGAAgAAAAhADj9If/WAAAAlAEAAAsAAAAAAAAAAAAAAAAALwEAAF9yZWxz&#10;Ly5yZWxzUEsBAi0AFAAGAAgAAAAhADO5qn0pAgAAVwQAAA4AAAAAAAAAAAAAAAAALgIAAGRycy9l&#10;Mm9Eb2MueG1sUEsBAi0AFAAGAAgAAAAhAPLjiz7fAAAACgEAAA8AAAAAAAAAAAAAAAAAgwQAAGRy&#10;cy9kb3ducmV2LnhtbFBLBQYAAAAABAAEAPMAAACPBQAAAAA=&#10;" strokecolor="white">
              <v:textbox>
                <w:txbxContent>
                  <w:p w:rsidR="008D2F16" w:rsidRPr="00D5325A" w:rsidRDefault="008D2F16" w:rsidP="00324456">
                    <w:pPr>
                      <w:spacing w:after="0" w:line="240" w:lineRule="auto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  <w:p w:rsidR="008D2F16" w:rsidRPr="00D5325A" w:rsidRDefault="008D2F16" w:rsidP="0032445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DIRECCIÓN DE ADMINISTRAC</w:t>
                    </w:r>
                    <w: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IÓN</w:t>
                    </w:r>
                  </w:p>
                  <w:p w:rsidR="008D2F16" w:rsidRPr="00D5325A" w:rsidRDefault="008D2F16" w:rsidP="0032445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UNIDAD DE ADMINISTRACI</w:t>
                    </w:r>
                    <w:r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Ó</w:t>
                    </w: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N</w:t>
                    </w:r>
                  </w:p>
                  <w:p w:rsidR="008D2F16" w:rsidRPr="00D5325A" w:rsidRDefault="008D2F16" w:rsidP="0032445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COORDINACIÓN DE CONTROL DE ABASTO</w:t>
                    </w:r>
                  </w:p>
                  <w:p w:rsidR="008D2F16" w:rsidRPr="00D5325A" w:rsidRDefault="008D2F16" w:rsidP="00324456">
                    <w:pP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2553BB5B" wp14:editId="18474BD5">
          <wp:simplePos x="0" y="0"/>
          <wp:positionH relativeFrom="column">
            <wp:posOffset>5803900</wp:posOffset>
          </wp:positionH>
          <wp:positionV relativeFrom="paragraph">
            <wp:posOffset>-22860</wp:posOffset>
          </wp:positionV>
          <wp:extent cx="581660" cy="715645"/>
          <wp:effectExtent l="0" t="0" r="889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234DF95" wp14:editId="41720942">
          <wp:simplePos x="0" y="0"/>
          <wp:positionH relativeFrom="column">
            <wp:posOffset>-92710</wp:posOffset>
          </wp:positionH>
          <wp:positionV relativeFrom="paragraph">
            <wp:posOffset>23495</wp:posOffset>
          </wp:positionV>
          <wp:extent cx="2077085" cy="669290"/>
          <wp:effectExtent l="0" t="0" r="0" b="0"/>
          <wp:wrapNone/>
          <wp:docPr id="1" name="Imagen 1" descr="LOGO MEX 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LOGO MEX HORI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F16" w:rsidRDefault="008D2F16" w:rsidP="00324456">
    <w:pPr>
      <w:pStyle w:val="Encabezado"/>
    </w:pPr>
  </w:p>
  <w:p w:rsidR="008D2F16" w:rsidRDefault="008D2F16" w:rsidP="00324456">
    <w:pPr>
      <w:pStyle w:val="Encabezado"/>
    </w:pPr>
  </w:p>
  <w:p w:rsidR="008D2F16" w:rsidRDefault="008D2F16" w:rsidP="00324456">
    <w:pPr>
      <w:pStyle w:val="Encabezado"/>
    </w:pPr>
  </w:p>
  <w:p w:rsidR="008D2F16" w:rsidRDefault="008D2F16" w:rsidP="00324456">
    <w:pPr>
      <w:ind w:left="567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16" w:rsidRDefault="000A7EA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09459" o:spid="_x0000_s2049" type="#_x0000_t75" style="position:absolute;left:0;text-align:left;margin-left:0;margin-top:0;width:498.3pt;height:461.35pt;z-index:-251657216;mso-position-horizontal:center;mso-position-horizontal-relative:margin;mso-position-vertical:center;mso-position-vertical-relative:margin" o:allowincell="f">
          <v:imagedata r:id="rId1" o:title="IMS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B5423"/>
    <w:multiLevelType w:val="hybridMultilevel"/>
    <w:tmpl w:val="16B808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7403D"/>
    <w:multiLevelType w:val="hybridMultilevel"/>
    <w:tmpl w:val="439C05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40B22"/>
    <w:multiLevelType w:val="hybridMultilevel"/>
    <w:tmpl w:val="72DA9E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A2EC4"/>
    <w:multiLevelType w:val="hybridMultilevel"/>
    <w:tmpl w:val="954400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A594D"/>
    <w:multiLevelType w:val="hybridMultilevel"/>
    <w:tmpl w:val="46A453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D12FF"/>
    <w:multiLevelType w:val="hybridMultilevel"/>
    <w:tmpl w:val="E520B0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466DA"/>
    <w:multiLevelType w:val="hybridMultilevel"/>
    <w:tmpl w:val="739C9FB0"/>
    <w:lvl w:ilvl="0" w:tplc="3A2AE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FA"/>
    <w:rsid w:val="0000614D"/>
    <w:rsid w:val="00021D5D"/>
    <w:rsid w:val="00024500"/>
    <w:rsid w:val="00027879"/>
    <w:rsid w:val="0005602B"/>
    <w:rsid w:val="00077155"/>
    <w:rsid w:val="0008492E"/>
    <w:rsid w:val="00087B84"/>
    <w:rsid w:val="00090C35"/>
    <w:rsid w:val="000971C4"/>
    <w:rsid w:val="000A4C4D"/>
    <w:rsid w:val="000A7EA2"/>
    <w:rsid w:val="000B0D64"/>
    <w:rsid w:val="000B28E4"/>
    <w:rsid w:val="000B3F53"/>
    <w:rsid w:val="000B7FA5"/>
    <w:rsid w:val="000C1ACE"/>
    <w:rsid w:val="000C5C91"/>
    <w:rsid w:val="000D0C98"/>
    <w:rsid w:val="000E3E9B"/>
    <w:rsid w:val="000E524E"/>
    <w:rsid w:val="0014635D"/>
    <w:rsid w:val="0014638C"/>
    <w:rsid w:val="00167789"/>
    <w:rsid w:val="001747A7"/>
    <w:rsid w:val="001800DC"/>
    <w:rsid w:val="00181767"/>
    <w:rsid w:val="00194139"/>
    <w:rsid w:val="00195CA6"/>
    <w:rsid w:val="00197A55"/>
    <w:rsid w:val="001A3720"/>
    <w:rsid w:val="001A4E12"/>
    <w:rsid w:val="001B01DE"/>
    <w:rsid w:val="001B3EAB"/>
    <w:rsid w:val="001C585C"/>
    <w:rsid w:val="001D227F"/>
    <w:rsid w:val="001E5081"/>
    <w:rsid w:val="00207ACD"/>
    <w:rsid w:val="00226EF4"/>
    <w:rsid w:val="00227CF9"/>
    <w:rsid w:val="00231D19"/>
    <w:rsid w:val="00243219"/>
    <w:rsid w:val="00250251"/>
    <w:rsid w:val="002671BD"/>
    <w:rsid w:val="00280E00"/>
    <w:rsid w:val="0028201E"/>
    <w:rsid w:val="00303C2C"/>
    <w:rsid w:val="00304BDB"/>
    <w:rsid w:val="00324456"/>
    <w:rsid w:val="0033650A"/>
    <w:rsid w:val="0034448B"/>
    <w:rsid w:val="00346E0B"/>
    <w:rsid w:val="00351E8E"/>
    <w:rsid w:val="00354DA7"/>
    <w:rsid w:val="00374355"/>
    <w:rsid w:val="0038308E"/>
    <w:rsid w:val="003857BE"/>
    <w:rsid w:val="00390044"/>
    <w:rsid w:val="003912FE"/>
    <w:rsid w:val="003C073F"/>
    <w:rsid w:val="003C6D5E"/>
    <w:rsid w:val="003E477C"/>
    <w:rsid w:val="003F16C0"/>
    <w:rsid w:val="003F2F33"/>
    <w:rsid w:val="00407F86"/>
    <w:rsid w:val="004205CD"/>
    <w:rsid w:val="004230BC"/>
    <w:rsid w:val="004310DF"/>
    <w:rsid w:val="00434FA2"/>
    <w:rsid w:val="00436B89"/>
    <w:rsid w:val="00445092"/>
    <w:rsid w:val="00445391"/>
    <w:rsid w:val="004471DE"/>
    <w:rsid w:val="004562AF"/>
    <w:rsid w:val="00464930"/>
    <w:rsid w:val="004679E0"/>
    <w:rsid w:val="004743A7"/>
    <w:rsid w:val="0047507B"/>
    <w:rsid w:val="004901D8"/>
    <w:rsid w:val="00496342"/>
    <w:rsid w:val="004A10D1"/>
    <w:rsid w:val="004B09F2"/>
    <w:rsid w:val="004B48DF"/>
    <w:rsid w:val="004D2B48"/>
    <w:rsid w:val="004D2DCF"/>
    <w:rsid w:val="004D4432"/>
    <w:rsid w:val="004D60FB"/>
    <w:rsid w:val="004F43FE"/>
    <w:rsid w:val="004F546A"/>
    <w:rsid w:val="00520DAD"/>
    <w:rsid w:val="005225BE"/>
    <w:rsid w:val="0057077F"/>
    <w:rsid w:val="00572E58"/>
    <w:rsid w:val="005813E2"/>
    <w:rsid w:val="00585602"/>
    <w:rsid w:val="00592F68"/>
    <w:rsid w:val="00595974"/>
    <w:rsid w:val="005A4DB9"/>
    <w:rsid w:val="005A7B45"/>
    <w:rsid w:val="005B7097"/>
    <w:rsid w:val="005C12D1"/>
    <w:rsid w:val="005E4736"/>
    <w:rsid w:val="005F2E33"/>
    <w:rsid w:val="005F7F2C"/>
    <w:rsid w:val="006018A4"/>
    <w:rsid w:val="0060627E"/>
    <w:rsid w:val="00614EC9"/>
    <w:rsid w:val="00634F2D"/>
    <w:rsid w:val="006356E4"/>
    <w:rsid w:val="0063684B"/>
    <w:rsid w:val="0064497B"/>
    <w:rsid w:val="00647BC8"/>
    <w:rsid w:val="00655691"/>
    <w:rsid w:val="00673974"/>
    <w:rsid w:val="006809A7"/>
    <w:rsid w:val="00694366"/>
    <w:rsid w:val="006A3017"/>
    <w:rsid w:val="006C0CD3"/>
    <w:rsid w:val="006C5CAA"/>
    <w:rsid w:val="006D1F72"/>
    <w:rsid w:val="006D5BF9"/>
    <w:rsid w:val="006F46E4"/>
    <w:rsid w:val="006F5BD0"/>
    <w:rsid w:val="00706FA7"/>
    <w:rsid w:val="00710542"/>
    <w:rsid w:val="0072362C"/>
    <w:rsid w:val="00742A47"/>
    <w:rsid w:val="007464C1"/>
    <w:rsid w:val="00783BB2"/>
    <w:rsid w:val="00786C43"/>
    <w:rsid w:val="00787313"/>
    <w:rsid w:val="007A4117"/>
    <w:rsid w:val="007A48F7"/>
    <w:rsid w:val="007B41A4"/>
    <w:rsid w:val="007C0732"/>
    <w:rsid w:val="007C40C5"/>
    <w:rsid w:val="007E45E3"/>
    <w:rsid w:val="007F1E46"/>
    <w:rsid w:val="007F370D"/>
    <w:rsid w:val="0080266B"/>
    <w:rsid w:val="00825216"/>
    <w:rsid w:val="0087376A"/>
    <w:rsid w:val="008A4CF5"/>
    <w:rsid w:val="008A70C4"/>
    <w:rsid w:val="008B74FA"/>
    <w:rsid w:val="008C1DD9"/>
    <w:rsid w:val="008C39D1"/>
    <w:rsid w:val="008C44BE"/>
    <w:rsid w:val="008D2C92"/>
    <w:rsid w:val="008D2F16"/>
    <w:rsid w:val="008E03BD"/>
    <w:rsid w:val="008E0DFF"/>
    <w:rsid w:val="008F63D1"/>
    <w:rsid w:val="0090639A"/>
    <w:rsid w:val="009220C2"/>
    <w:rsid w:val="00922D55"/>
    <w:rsid w:val="009460E3"/>
    <w:rsid w:val="00976F61"/>
    <w:rsid w:val="00992CD8"/>
    <w:rsid w:val="009A7A0D"/>
    <w:rsid w:val="009C6B8D"/>
    <w:rsid w:val="009F113A"/>
    <w:rsid w:val="00A0041B"/>
    <w:rsid w:val="00A22D69"/>
    <w:rsid w:val="00A23E7F"/>
    <w:rsid w:val="00A4153D"/>
    <w:rsid w:val="00A441BD"/>
    <w:rsid w:val="00A45035"/>
    <w:rsid w:val="00A5070D"/>
    <w:rsid w:val="00A61266"/>
    <w:rsid w:val="00A765F1"/>
    <w:rsid w:val="00A81271"/>
    <w:rsid w:val="00A81462"/>
    <w:rsid w:val="00A83EE8"/>
    <w:rsid w:val="00A90271"/>
    <w:rsid w:val="00A92020"/>
    <w:rsid w:val="00AA1A66"/>
    <w:rsid w:val="00AA3E47"/>
    <w:rsid w:val="00AA5C15"/>
    <w:rsid w:val="00AB4A0B"/>
    <w:rsid w:val="00AB6800"/>
    <w:rsid w:val="00AB76CB"/>
    <w:rsid w:val="00AC27BF"/>
    <w:rsid w:val="00AD3204"/>
    <w:rsid w:val="00AE29A8"/>
    <w:rsid w:val="00AF129D"/>
    <w:rsid w:val="00B052C2"/>
    <w:rsid w:val="00B11C73"/>
    <w:rsid w:val="00B12239"/>
    <w:rsid w:val="00B26FCF"/>
    <w:rsid w:val="00B273E7"/>
    <w:rsid w:val="00B4386A"/>
    <w:rsid w:val="00B45112"/>
    <w:rsid w:val="00B545B8"/>
    <w:rsid w:val="00B54F63"/>
    <w:rsid w:val="00B57BF0"/>
    <w:rsid w:val="00B60C20"/>
    <w:rsid w:val="00B75692"/>
    <w:rsid w:val="00B775F5"/>
    <w:rsid w:val="00B846FD"/>
    <w:rsid w:val="00BA6578"/>
    <w:rsid w:val="00BB7A0C"/>
    <w:rsid w:val="00BD145A"/>
    <w:rsid w:val="00BE761C"/>
    <w:rsid w:val="00C01A7B"/>
    <w:rsid w:val="00C02BA8"/>
    <w:rsid w:val="00C05408"/>
    <w:rsid w:val="00C120D5"/>
    <w:rsid w:val="00C150B8"/>
    <w:rsid w:val="00C4386C"/>
    <w:rsid w:val="00C45E3E"/>
    <w:rsid w:val="00C62B25"/>
    <w:rsid w:val="00C73D49"/>
    <w:rsid w:val="00C740FA"/>
    <w:rsid w:val="00C77D43"/>
    <w:rsid w:val="00C83FDA"/>
    <w:rsid w:val="00C87A7E"/>
    <w:rsid w:val="00CB024D"/>
    <w:rsid w:val="00CB290F"/>
    <w:rsid w:val="00CB55AD"/>
    <w:rsid w:val="00CC2ED5"/>
    <w:rsid w:val="00CC7A80"/>
    <w:rsid w:val="00CE6C3D"/>
    <w:rsid w:val="00CF08EC"/>
    <w:rsid w:val="00D101DC"/>
    <w:rsid w:val="00D13898"/>
    <w:rsid w:val="00D226C4"/>
    <w:rsid w:val="00D36102"/>
    <w:rsid w:val="00D93C4A"/>
    <w:rsid w:val="00D9590B"/>
    <w:rsid w:val="00DB3746"/>
    <w:rsid w:val="00DC1783"/>
    <w:rsid w:val="00DC754B"/>
    <w:rsid w:val="00DF543A"/>
    <w:rsid w:val="00E03F8C"/>
    <w:rsid w:val="00E30701"/>
    <w:rsid w:val="00E313E6"/>
    <w:rsid w:val="00E5149E"/>
    <w:rsid w:val="00E66C18"/>
    <w:rsid w:val="00E761B7"/>
    <w:rsid w:val="00E8168E"/>
    <w:rsid w:val="00E93F78"/>
    <w:rsid w:val="00EB0E47"/>
    <w:rsid w:val="00EB2309"/>
    <w:rsid w:val="00EB3B02"/>
    <w:rsid w:val="00EC14F8"/>
    <w:rsid w:val="00EC7768"/>
    <w:rsid w:val="00ED1D24"/>
    <w:rsid w:val="00ED2F06"/>
    <w:rsid w:val="00EE2434"/>
    <w:rsid w:val="00EF10C0"/>
    <w:rsid w:val="00EF7896"/>
    <w:rsid w:val="00F140FC"/>
    <w:rsid w:val="00F145FD"/>
    <w:rsid w:val="00F40648"/>
    <w:rsid w:val="00F549CF"/>
    <w:rsid w:val="00F61E84"/>
    <w:rsid w:val="00F76687"/>
    <w:rsid w:val="00F84A82"/>
    <w:rsid w:val="00F927D5"/>
    <w:rsid w:val="00F95F2F"/>
    <w:rsid w:val="00F96FBC"/>
    <w:rsid w:val="00FA2CC5"/>
    <w:rsid w:val="00FA3224"/>
    <w:rsid w:val="00FB3413"/>
    <w:rsid w:val="00FB5328"/>
    <w:rsid w:val="00FC7B06"/>
    <w:rsid w:val="00FE5BEC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FA"/>
    <w:pPr>
      <w:jc w:val="both"/>
    </w:pPr>
    <w:rPr>
      <w:rFonts w:ascii="Cambria" w:eastAsia="Calibri" w:hAnsi="Cambria" w:cs="Times New Roman"/>
    </w:rPr>
  </w:style>
  <w:style w:type="paragraph" w:styleId="Ttulo2">
    <w:name w:val="heading 2"/>
    <w:basedOn w:val="Normal"/>
    <w:next w:val="Normal"/>
    <w:link w:val="Ttulo2Car"/>
    <w:qFormat/>
    <w:rsid w:val="008B74FA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hAnsi="Arial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453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B74FA"/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4453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8B74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74FA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B74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74FA"/>
    <w:rPr>
      <w:rFonts w:ascii="Cambria" w:eastAsia="Calibri" w:hAnsi="Cambria" w:cs="Times New Roman"/>
    </w:rPr>
  </w:style>
  <w:style w:type="paragraph" w:customStyle="1" w:styleId="Textoindependiente21">
    <w:name w:val="Texto independiente 21"/>
    <w:basedOn w:val="Normal"/>
    <w:rsid w:val="008B74F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Arial" w:hAnsi="Arial"/>
      <w:sz w:val="20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qFormat/>
    <w:rsid w:val="008B74FA"/>
    <w:pPr>
      <w:keepNext/>
      <w:spacing w:before="120" w:after="0" w:line="360" w:lineRule="auto"/>
    </w:pPr>
    <w:rPr>
      <w:rFonts w:eastAsia="MS Mincho"/>
      <w:b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8B74FA"/>
    <w:rPr>
      <w:rFonts w:ascii="Cambria" w:eastAsia="MS Mincho" w:hAnsi="Cambria" w:cs="Times New Roman"/>
      <w:b/>
      <w:szCs w:val="24"/>
      <w:lang w:val="es-ES" w:eastAsia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8B74FA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8B74FA"/>
    <w:rPr>
      <w:rFonts w:ascii="Arial" w:eastAsia="Calibri" w:hAnsi="Arial" w:cs="Times New Roman"/>
      <w:sz w:val="24"/>
      <w:szCs w:val="24"/>
      <w:lang w:val="x-none" w:eastAsia="es-ES"/>
    </w:rPr>
  </w:style>
  <w:style w:type="character" w:styleId="Hipervnculo">
    <w:name w:val="Hyperlink"/>
    <w:uiPriority w:val="99"/>
    <w:rsid w:val="008B74FA"/>
    <w:rPr>
      <w:color w:val="0000FF"/>
      <w:u w:val="single"/>
    </w:rPr>
  </w:style>
  <w:style w:type="paragraph" w:styleId="Sinespaciado">
    <w:name w:val="No Spacing"/>
    <w:uiPriority w:val="1"/>
    <w:qFormat/>
    <w:rsid w:val="008B74FA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7B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B37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385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A70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70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70C4"/>
    <w:rPr>
      <w:rFonts w:ascii="Cambria" w:eastAsia="Calibri" w:hAnsi="Cambri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FA"/>
    <w:pPr>
      <w:jc w:val="both"/>
    </w:pPr>
    <w:rPr>
      <w:rFonts w:ascii="Cambria" w:eastAsia="Calibri" w:hAnsi="Cambria" w:cs="Times New Roman"/>
    </w:rPr>
  </w:style>
  <w:style w:type="paragraph" w:styleId="Ttulo2">
    <w:name w:val="heading 2"/>
    <w:basedOn w:val="Normal"/>
    <w:next w:val="Normal"/>
    <w:link w:val="Ttulo2Car"/>
    <w:qFormat/>
    <w:rsid w:val="008B74FA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hAnsi="Arial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453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B74FA"/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4453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8B74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74FA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B74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74FA"/>
    <w:rPr>
      <w:rFonts w:ascii="Cambria" w:eastAsia="Calibri" w:hAnsi="Cambria" w:cs="Times New Roman"/>
    </w:rPr>
  </w:style>
  <w:style w:type="paragraph" w:customStyle="1" w:styleId="Textoindependiente21">
    <w:name w:val="Texto independiente 21"/>
    <w:basedOn w:val="Normal"/>
    <w:rsid w:val="008B74F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Arial" w:hAnsi="Arial"/>
      <w:sz w:val="20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qFormat/>
    <w:rsid w:val="008B74FA"/>
    <w:pPr>
      <w:keepNext/>
      <w:spacing w:before="120" w:after="0" w:line="360" w:lineRule="auto"/>
    </w:pPr>
    <w:rPr>
      <w:rFonts w:eastAsia="MS Mincho"/>
      <w:b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8B74FA"/>
    <w:rPr>
      <w:rFonts w:ascii="Cambria" w:eastAsia="MS Mincho" w:hAnsi="Cambria" w:cs="Times New Roman"/>
      <w:b/>
      <w:szCs w:val="24"/>
      <w:lang w:val="es-ES" w:eastAsia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8B74FA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8B74FA"/>
    <w:rPr>
      <w:rFonts w:ascii="Arial" w:eastAsia="Calibri" w:hAnsi="Arial" w:cs="Times New Roman"/>
      <w:sz w:val="24"/>
      <w:szCs w:val="24"/>
      <w:lang w:val="x-none" w:eastAsia="es-ES"/>
    </w:rPr>
  </w:style>
  <w:style w:type="character" w:styleId="Hipervnculo">
    <w:name w:val="Hyperlink"/>
    <w:uiPriority w:val="99"/>
    <w:rsid w:val="008B74FA"/>
    <w:rPr>
      <w:color w:val="0000FF"/>
      <w:u w:val="single"/>
    </w:rPr>
  </w:style>
  <w:style w:type="paragraph" w:styleId="Sinespaciado">
    <w:name w:val="No Spacing"/>
    <w:uiPriority w:val="1"/>
    <w:qFormat/>
    <w:rsid w:val="008B74FA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7B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B37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385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A70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70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70C4"/>
    <w:rPr>
      <w:rFonts w:ascii="Cambria" w:eastAsia="Calibri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8231-5CC1-4EE0-ACFA-0F98E43F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Balandra Pineda</dc:creator>
  <cp:lastModifiedBy>Gabriel Barreto Olmos</cp:lastModifiedBy>
  <cp:revision>2</cp:revision>
  <cp:lastPrinted>2016-09-12T16:33:00Z</cp:lastPrinted>
  <dcterms:created xsi:type="dcterms:W3CDTF">2017-09-22T23:06:00Z</dcterms:created>
  <dcterms:modified xsi:type="dcterms:W3CDTF">2017-09-22T23:06:00Z</dcterms:modified>
</cp:coreProperties>
</file>